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6C0" w:rsidRPr="00585E3E" w:rsidRDefault="009676C0" w:rsidP="009676C0">
      <w:pPr>
        <w:jc w:val="center"/>
        <w:rPr>
          <w:b/>
          <w:i/>
          <w:iCs/>
          <w:sz w:val="32"/>
          <w:szCs w:val="32"/>
        </w:rPr>
      </w:pPr>
      <w:bookmarkStart w:id="0" w:name="_GoBack"/>
      <w:bookmarkEnd w:id="0"/>
      <w:r w:rsidRPr="00585E3E">
        <w:rPr>
          <w:b/>
          <w:i/>
          <w:iCs/>
          <w:sz w:val="32"/>
          <w:szCs w:val="32"/>
        </w:rPr>
        <w:t>DICHIARAZIONE ASSENZA DI CAUSE DI INCOMPATIBILIT</w:t>
      </w:r>
      <w:r w:rsidR="00BF1811">
        <w:rPr>
          <w:b/>
          <w:i/>
          <w:iCs/>
          <w:sz w:val="32"/>
          <w:szCs w:val="32"/>
        </w:rPr>
        <w:t>À</w:t>
      </w:r>
    </w:p>
    <w:p w:rsidR="009676C0" w:rsidRDefault="009676C0" w:rsidP="00BF1811">
      <w:pPr>
        <w:jc w:val="both"/>
        <w:rPr>
          <w:color w:val="FF0000"/>
        </w:rPr>
      </w:pPr>
      <w:r w:rsidRPr="0058238F">
        <w:t>Il</w:t>
      </w:r>
      <w:r w:rsidR="00A66619" w:rsidRPr="0058238F">
        <w:t>/la</w:t>
      </w:r>
      <w:r w:rsidRPr="0058238F">
        <w:t xml:space="preserve"> sottoscritto</w:t>
      </w:r>
      <w:r w:rsidR="00A66619" w:rsidRPr="0058238F">
        <w:t>/a</w:t>
      </w:r>
      <w:r w:rsidR="006E4C65" w:rsidRPr="0058238F">
        <w:t xml:space="preserve"> </w:t>
      </w:r>
      <w:r w:rsidR="00A66619" w:rsidRPr="0058238F">
        <w:t>_______________________________________</w:t>
      </w:r>
      <w:r w:rsidR="00317190" w:rsidRPr="0058238F">
        <w:t>__</w:t>
      </w:r>
      <w:r w:rsidR="001142D7" w:rsidRPr="0058238F">
        <w:t>___________</w:t>
      </w:r>
      <w:r w:rsidR="00A66619" w:rsidRPr="0058238F">
        <w:t>____________________</w:t>
      </w:r>
      <w:r w:rsidR="006E4C65" w:rsidRPr="0058238F">
        <w:t xml:space="preserve"> nato</w:t>
      </w:r>
      <w:r w:rsidR="00A66619" w:rsidRPr="0058238F">
        <w:t>/a</w:t>
      </w:r>
      <w:r w:rsidR="006E4C65" w:rsidRPr="0058238F">
        <w:t xml:space="preserve"> a </w:t>
      </w:r>
      <w:r w:rsidR="00A66619" w:rsidRPr="0058238F">
        <w:t>_____________________</w:t>
      </w:r>
      <w:r w:rsidR="001142D7" w:rsidRPr="0058238F">
        <w:t>_______</w:t>
      </w:r>
      <w:r w:rsidR="00A66619" w:rsidRPr="0058238F">
        <w:t>______________________</w:t>
      </w:r>
      <w:r w:rsidR="006E4C65" w:rsidRPr="0058238F">
        <w:t xml:space="preserve"> </w:t>
      </w:r>
      <w:r w:rsidRPr="0058238F">
        <w:t>il</w:t>
      </w:r>
      <w:r w:rsidR="00CF5AD7" w:rsidRPr="0058238F">
        <w:t xml:space="preserve"> </w:t>
      </w:r>
      <w:r w:rsidR="00A66619" w:rsidRPr="0058238F">
        <w:t>__________</w:t>
      </w:r>
      <w:r w:rsidR="001142D7" w:rsidRPr="0058238F">
        <w:t>__________</w:t>
      </w:r>
      <w:r w:rsidR="00A66619" w:rsidRPr="0058238F">
        <w:t>_____</w:t>
      </w:r>
      <w:r w:rsidR="00E92BBB" w:rsidRPr="0058238F">
        <w:t xml:space="preserve">, </w:t>
      </w:r>
      <w:r w:rsidR="00886606" w:rsidRPr="0058238F">
        <w:t xml:space="preserve">candidato quale membro esperto della Commissione di aggiudicazione per la valutazione delle offerte tecniche presentate nella gara per l’aggiudicazione, </w:t>
      </w:r>
      <w:r w:rsidR="007B2B82" w:rsidRPr="007B2B82">
        <w:t>procedura negoziata ai sensi dell'articolo 36</w:t>
      </w:r>
      <w:r w:rsidR="00886B44">
        <w:t xml:space="preserve">, </w:t>
      </w:r>
      <w:r w:rsidR="007B2B82" w:rsidRPr="007B2B82">
        <w:t xml:space="preserve">comma 2 lettera c) del D.Lgs. 50/2016 per l’affidamento </w:t>
      </w:r>
      <w:r w:rsidR="00BF1811" w:rsidRPr="00BF1811">
        <w:t xml:space="preserve">dei </w:t>
      </w:r>
      <w:r w:rsidR="00BF1811" w:rsidRPr="00BF1811">
        <w:rPr>
          <w:b/>
          <w:color w:val="FF0000"/>
        </w:rPr>
        <w:t>lavori/servizi di …………………...................................</w:t>
      </w:r>
    </w:p>
    <w:p w:rsidR="009676C0" w:rsidRDefault="009676C0" w:rsidP="00317190">
      <w:pPr>
        <w:spacing w:after="0"/>
        <w:jc w:val="center"/>
        <w:rPr>
          <w:b/>
          <w:i/>
          <w:iCs/>
          <w:sz w:val="24"/>
          <w:szCs w:val="24"/>
        </w:rPr>
      </w:pPr>
      <w:r w:rsidRPr="00585E3E">
        <w:rPr>
          <w:b/>
          <w:i/>
          <w:iCs/>
          <w:sz w:val="24"/>
          <w:szCs w:val="24"/>
        </w:rPr>
        <w:t>DICHIARA</w:t>
      </w:r>
    </w:p>
    <w:p w:rsidR="00BF1811" w:rsidRPr="00585E3E" w:rsidRDefault="00BF1811" w:rsidP="00BF1811">
      <w:pPr>
        <w:jc w:val="center"/>
        <w:rPr>
          <w:b/>
          <w:i/>
          <w:iCs/>
          <w:sz w:val="24"/>
          <w:szCs w:val="24"/>
        </w:rPr>
      </w:pPr>
      <w:r w:rsidRPr="00BF1811">
        <w:rPr>
          <w:i/>
        </w:rPr>
        <w:t>ai sensi degli artt. 46 e 47 del d.P.R. 28 dicembre 2000, n. 445, e s.m.i., consapevole della responsabilità penale cui poter andare incontro in caso di dichiarazione mendace ed edotto delle sanzioni penali di cui all’art. 76 del d.P.R. sopra citato</w:t>
      </w:r>
    </w:p>
    <w:p w:rsidR="00886606" w:rsidRPr="008D58A4" w:rsidRDefault="00886606" w:rsidP="00317190">
      <w:pPr>
        <w:jc w:val="both"/>
      </w:pPr>
      <w:r w:rsidRPr="008D58A4">
        <w:sym w:font="Symbol" w:char="F0B7"/>
      </w:r>
      <w:r w:rsidRPr="008D58A4">
        <w:t xml:space="preserve"> di non aver concorso, in qualità di membro di Commissione </w:t>
      </w:r>
      <w:r>
        <w:t>aggiudica</w:t>
      </w:r>
      <w:r w:rsidR="0026288A">
        <w:t>trice</w:t>
      </w:r>
      <w:r w:rsidRPr="008D58A4">
        <w:t>, all’approvazione di atti dichiarati illegittimi, con dolo o colpa grave accertata in sede giurisdizionale con sentenza non sospesa;</w:t>
      </w:r>
    </w:p>
    <w:p w:rsidR="00886606" w:rsidRPr="00FE760B" w:rsidRDefault="00886606" w:rsidP="00317190">
      <w:pPr>
        <w:jc w:val="both"/>
      </w:pPr>
      <w:r w:rsidRPr="00FE760B">
        <w:sym w:font="Symbol" w:char="F0B7"/>
      </w:r>
      <w:r w:rsidRPr="00FE760B">
        <w:t xml:space="preserve"> di non aver svolto e di non svolgere alcun’altra funzione o incarico tecnico o amministrativo relativamente al contratto da aggiudicare;</w:t>
      </w:r>
    </w:p>
    <w:p w:rsidR="00886606" w:rsidRPr="008D58A4" w:rsidRDefault="00886606" w:rsidP="00317190">
      <w:pPr>
        <w:jc w:val="both"/>
      </w:pPr>
      <w:r w:rsidRPr="00FE760B">
        <w:sym w:font="Symbol" w:char="F0B7"/>
      </w:r>
      <w:r w:rsidRPr="00FE760B">
        <w:t xml:space="preserve"> di non aver ricoperto una carica di pubblico amministratore (componente di organo amministrativo, incarichi amministrativi di vertice) nel biennio antecedente all’indizione della procedura di aggiudicazione relativamente ai contratti affidati dall’Amministrazione presso la quale ha esercitato la propria funzione d’istituto;</w:t>
      </w:r>
    </w:p>
    <w:p w:rsidR="00886606" w:rsidRPr="008D58A4" w:rsidRDefault="00886606" w:rsidP="00317190">
      <w:pPr>
        <w:jc w:val="both"/>
      </w:pPr>
      <w:r w:rsidRPr="008D58A4">
        <w:sym w:font="Symbol" w:char="F0B7"/>
      </w:r>
      <w:r w:rsidRPr="008D58A4">
        <w:t xml:space="preserve"> di essere consapevole che è causa di incompatibilità anche avere in corso ovvero avere svolto nel corso dell’ultimo anno incarichi, mandati, compiti, mansioni, servizi ovvero cariche, funzioni, uffici o situazioni assimilabili presso operatori economici che partecipino in veste di concorrenti alla gara indicata in oggetto ovvero presso operatori economici ai primi legati da rapporto di controllo ovvero di collegamento societario;</w:t>
      </w:r>
    </w:p>
    <w:p w:rsidR="00886606" w:rsidRPr="008D58A4" w:rsidRDefault="00886606" w:rsidP="00317190">
      <w:pPr>
        <w:jc w:val="both"/>
      </w:pPr>
      <w:r w:rsidRPr="008D58A4">
        <w:sym w:font="Symbol" w:char="F0B7"/>
      </w:r>
      <w:r w:rsidRPr="008D58A4">
        <w:t xml:space="preserve"> di impegnarsi ad astenersi dal partecipare ai lavori della Commissione </w:t>
      </w:r>
      <w:r>
        <w:t>aggiudica</w:t>
      </w:r>
      <w:r w:rsidR="0026288A">
        <w:t>trice</w:t>
      </w:r>
      <w:r w:rsidRPr="008D58A4">
        <w:t xml:space="preserve"> in presenza di interessi propri, finanziari e non, diretti e indiretti, che possano essere in conflitto, anche soltanto potenziale, con gli obblighi cui al precedente punto; in particolare, di impegnarsi ad astenersi dal partecipare all’adozione di decisioni e/o ad attività in presenza di interessi propri, finanziari e non, del coniuge, dei parenti entro il quarto grado e/o di soggetti conviventi, di persone collegate (amici, conoscenti, ecc.) o di organizzazioni di cui il sottoscritto o il coniuge o i parenti entro il quarto grado e/o i conviventi siano amministratori o dirigenti e comunque di impegnarsi ad astenersi in tutti i casi in cui abbia un qualsiasi interesse personale o professionale, diretto o indiretto, nei confronti di uno più soggetti comunque coinvolti, direttamente o indirettamente, nelle attività della gara indicata in oggetto;</w:t>
      </w:r>
    </w:p>
    <w:p w:rsidR="00886606" w:rsidRPr="008D58A4" w:rsidRDefault="00886606" w:rsidP="00317190">
      <w:pPr>
        <w:jc w:val="both"/>
      </w:pPr>
      <w:r w:rsidRPr="008D58A4">
        <w:sym w:font="Symbol" w:char="F0B7"/>
      </w:r>
      <w:r w:rsidRPr="008D58A4">
        <w:t xml:space="preserve"> di non avere riportato condanne penali passate in giudicato per reati che comportino l’interdizione dai pubblici uffici, per reati che incidano sulla moralità professionale e per i reati di cui al d.lgs. n. 231/2001;</w:t>
      </w:r>
    </w:p>
    <w:p w:rsidR="00886606" w:rsidRPr="008D58A4" w:rsidRDefault="00886606" w:rsidP="00317190">
      <w:pPr>
        <w:jc w:val="both"/>
      </w:pPr>
      <w:r w:rsidRPr="008D58A4">
        <w:sym w:font="Symbol" w:char="F0B7"/>
      </w:r>
      <w:r w:rsidRPr="008D58A4">
        <w:t xml:space="preserve"> di non essere stato condannato, neppure con sentenza non passata in giudicato, per i reati previsti nel capo I del titolo II del libro secondo del codice penale ai sensi dell’art. 35‐bis, comma 1, lettera c) del d.lgs. n. 165/2001;</w:t>
      </w:r>
    </w:p>
    <w:p w:rsidR="00886606" w:rsidRPr="008D58A4" w:rsidRDefault="00886606" w:rsidP="00317190">
      <w:pPr>
        <w:jc w:val="both"/>
      </w:pPr>
      <w:r w:rsidRPr="008D58A4">
        <w:sym w:font="Symbol" w:char="F0B7"/>
      </w:r>
      <w:r w:rsidRPr="008D58A4">
        <w:t xml:space="preserve"> 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notizia agli altri componenti della Commissione e all’</w:t>
      </w:r>
      <w:r w:rsidR="0026288A">
        <w:t>Amministrazione aggiudicatrice</w:t>
      </w:r>
      <w:r w:rsidRPr="008D58A4">
        <w:t xml:space="preserve"> e ad astenersi dalla funzione;</w:t>
      </w:r>
    </w:p>
    <w:p w:rsidR="00886606" w:rsidRPr="00FE760B" w:rsidRDefault="00886606" w:rsidP="00317190">
      <w:pPr>
        <w:jc w:val="both"/>
      </w:pPr>
      <w:r w:rsidRPr="008D58A4">
        <w:lastRenderedPageBreak/>
        <w:sym w:font="Symbol" w:char="F0B7"/>
      </w:r>
      <w:r w:rsidRPr="008D58A4">
        <w:t xml:space="preserve"> di impegnarsi ad operare con imparzialità e a svolgere il proprio compito con rigore, riservatezza, nel rispetto della normativa </w:t>
      </w:r>
      <w:r w:rsidRPr="00FE760B">
        <w:t>vigente, in una posizione di indipendenza, imparzialità ed autonomia;</w:t>
      </w:r>
    </w:p>
    <w:p w:rsidR="00886606" w:rsidRPr="00FE760B" w:rsidRDefault="00886606" w:rsidP="00317190">
      <w:pPr>
        <w:spacing w:after="0"/>
        <w:jc w:val="center"/>
        <w:rPr>
          <w:b/>
          <w:i/>
          <w:iCs/>
        </w:rPr>
      </w:pPr>
      <w:r w:rsidRPr="00FE760B">
        <w:rPr>
          <w:b/>
          <w:i/>
          <w:iCs/>
        </w:rPr>
        <w:t xml:space="preserve">E DICHIARA INOLTRE DI NON TROVARSI IN NESSUNA </w:t>
      </w:r>
    </w:p>
    <w:p w:rsidR="00886606" w:rsidRDefault="00886606" w:rsidP="00317190">
      <w:pPr>
        <w:jc w:val="center"/>
        <w:rPr>
          <w:b/>
          <w:i/>
          <w:iCs/>
        </w:rPr>
      </w:pPr>
      <w:r w:rsidRPr="00FE760B">
        <w:rPr>
          <w:b/>
          <w:i/>
          <w:iCs/>
        </w:rPr>
        <w:t>DELLE SEGUENTI CAUSE DI ESCLUSIONE</w:t>
      </w:r>
      <w:r>
        <w:rPr>
          <w:b/>
          <w:i/>
          <w:iCs/>
        </w:rPr>
        <w:t xml:space="preserve"> </w:t>
      </w:r>
    </w:p>
    <w:p w:rsidR="00886606" w:rsidRPr="00FE760B" w:rsidRDefault="00886606" w:rsidP="00317190">
      <w:pPr>
        <w:jc w:val="center"/>
        <w:rPr>
          <w:b/>
          <w:i/>
          <w:iCs/>
        </w:rPr>
      </w:pPr>
      <w:r w:rsidRPr="00FE760B">
        <w:rPr>
          <w:b/>
          <w:i/>
          <w:iCs/>
        </w:rPr>
        <w:t>(</w:t>
      </w:r>
      <w:r>
        <w:rPr>
          <w:b/>
          <w:i/>
          <w:iCs/>
        </w:rPr>
        <w:t>le seguenti</w:t>
      </w:r>
      <w:r w:rsidRPr="00FE760B">
        <w:rPr>
          <w:b/>
          <w:i/>
          <w:iCs/>
        </w:rPr>
        <w:t xml:space="preserve"> cause ostative non si applicano quando il reato è stato depenalizzato ovvero quando è intervenuta la riabilitazione ovvero quando il reato è stato dichiarato estinto dopo la condanna ovvero in caso di revoca della condanna medesima</w:t>
      </w:r>
      <w:r>
        <w:rPr>
          <w:b/>
          <w:i/>
          <w:iCs/>
        </w:rPr>
        <w:t>)</w:t>
      </w:r>
    </w:p>
    <w:p w:rsidR="00886606" w:rsidRPr="00FE760B" w:rsidRDefault="00886606" w:rsidP="00317190">
      <w:pPr>
        <w:pStyle w:val="Default"/>
        <w:spacing w:after="200" w:line="276" w:lineRule="auto"/>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aver riportato condanna anche non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w:t>
      </w:r>
    </w:p>
    <w:p w:rsidR="00886606" w:rsidRPr="00FE760B" w:rsidRDefault="00886606" w:rsidP="00317190">
      <w:pPr>
        <w:pStyle w:val="Default"/>
        <w:spacing w:after="200" w:line="276" w:lineRule="auto"/>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aver riportato condanne anche non definitive per i delitti, consumati o tentati, previsti dall'articolo 51, commi 3-bis e 3-quater, del codice di procedura penale, diversi da quelli indicati alla lettera a); </w:t>
      </w:r>
    </w:p>
    <w:p w:rsidR="00886606" w:rsidRPr="00FE760B" w:rsidRDefault="00886606" w:rsidP="00317190">
      <w:pPr>
        <w:pStyle w:val="Default"/>
        <w:spacing w:after="200" w:line="276" w:lineRule="auto"/>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aver riportato condanna anche non definitiva per i delitti, consumati o tentati, previsti dagli articoli 314, 316, 316-bis, 316-ter, 317, 318, 319, 319-ter, 319-quater, primo comma, 320, 321, 322, 322-bis, 323, 325, 326, 331, secondo comma, 334, 346-bis, 353 e 353-bis, 354, 355 e 356 del codice penale nonché all’</w:t>
      </w:r>
      <w:r w:rsidR="007B2B82">
        <w:rPr>
          <w:rFonts w:ascii="Calibri" w:hAnsi="Calibri" w:cs="Times New Roman"/>
          <w:color w:val="auto"/>
          <w:sz w:val="22"/>
          <w:szCs w:val="22"/>
          <w:lang w:eastAsia="en-US"/>
        </w:rPr>
        <w:t>articolo 2635 del codice civile</w:t>
      </w:r>
      <w:r w:rsidRPr="00FE760B">
        <w:rPr>
          <w:rFonts w:ascii="Calibri" w:hAnsi="Calibri" w:cs="Times New Roman"/>
          <w:color w:val="auto"/>
          <w:sz w:val="22"/>
          <w:szCs w:val="22"/>
          <w:lang w:eastAsia="en-US"/>
        </w:rPr>
        <w:t xml:space="preserve">; </w:t>
      </w:r>
    </w:p>
    <w:p w:rsidR="00886606" w:rsidRPr="00FE760B" w:rsidRDefault="00886606" w:rsidP="00317190">
      <w:pPr>
        <w:pStyle w:val="Default"/>
        <w:spacing w:after="200" w:line="276" w:lineRule="auto"/>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648-bis, 648-ter e 648-ter.1 del codice penale, riciclaggio di proventi di attività criminose o finanziamento del terrorismo, quali definiti all'articolo 1 del decreto legislativo 22 giugno 2007, n. 109 e successive modificazioni; sfruttamento del lavoro minorile e altre forme di tratta di esseri umani definite con il decreto legislativo 4 marzo 2014, n. 24; </w:t>
      </w:r>
    </w:p>
    <w:p w:rsidR="00886606" w:rsidRPr="00FE760B" w:rsidRDefault="00886606" w:rsidP="00317190">
      <w:pPr>
        <w:pStyle w:val="Default"/>
        <w:spacing w:after="200" w:line="276" w:lineRule="auto"/>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 </w:t>
      </w:r>
    </w:p>
    <w:p w:rsidR="00886606" w:rsidRPr="00317190" w:rsidRDefault="00317190" w:rsidP="00317190">
      <w:pPr>
        <w:pStyle w:val="Default"/>
        <w:tabs>
          <w:tab w:val="left" w:pos="142"/>
        </w:tabs>
        <w:spacing w:after="200" w:line="276" w:lineRule="auto"/>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w:t>
      </w:r>
      <w:r w:rsidR="00886606" w:rsidRPr="00317190">
        <w:rPr>
          <w:rFonts w:ascii="Calibri" w:hAnsi="Calibri" w:cs="Times New Roman"/>
          <w:color w:val="auto"/>
          <w:sz w:val="22"/>
          <w:szCs w:val="22"/>
          <w:lang w:eastAsia="en-US"/>
        </w:rPr>
        <w:t xml:space="preserve">essere stato condannato con sentenza definitiva ad una pena non inferiore a due anni di reclusione per delitto non colposo; </w:t>
      </w:r>
    </w:p>
    <w:p w:rsidR="00886606" w:rsidRPr="005154FA" w:rsidRDefault="00317190" w:rsidP="00317190">
      <w:pPr>
        <w:pStyle w:val="Default"/>
        <w:spacing w:after="200" w:line="276" w:lineRule="auto"/>
        <w:ind w:left="55"/>
        <w:jc w:val="both"/>
        <w:rPr>
          <w:rFonts w:ascii="Calibri" w:hAnsi="Calibri" w:cs="Times New Roman"/>
          <w:color w:val="auto"/>
          <w:sz w:val="22"/>
          <w:szCs w:val="22"/>
          <w:lang w:eastAsia="en-US"/>
        </w:rPr>
      </w:pPr>
      <w:r w:rsidRPr="00FE760B">
        <w:rPr>
          <w:sz w:val="22"/>
          <w:szCs w:val="22"/>
        </w:rPr>
        <w:sym w:font="Symbol" w:char="F0B7"/>
      </w:r>
      <w:r w:rsidRPr="00FE760B">
        <w:rPr>
          <w:rFonts w:ascii="Calibri" w:hAnsi="Calibri" w:cs="Times New Roman"/>
          <w:color w:val="auto"/>
          <w:sz w:val="22"/>
          <w:szCs w:val="22"/>
          <w:lang w:eastAsia="en-US"/>
        </w:rPr>
        <w:t xml:space="preserve"> </w:t>
      </w:r>
      <w:r w:rsidR="00886606" w:rsidRPr="00FE760B">
        <w:rPr>
          <w:rFonts w:ascii="Calibri" w:hAnsi="Calibri" w:cs="Times New Roman"/>
          <w:color w:val="auto"/>
          <w:sz w:val="22"/>
          <w:szCs w:val="22"/>
          <w:lang w:eastAsia="en-US"/>
        </w:rPr>
        <w:t>che il tribunale ha applicato, con provvedimento anche non definitivo, una misura di prevenzione, in quanto indiziato di appartenere ad una delle associazioni di cui all'articolo 4, comma 1, lettere a) e b), del decreto legislativo 6 settembre 2011, n. 159.</w:t>
      </w:r>
      <w:r w:rsidR="00886606" w:rsidRPr="008D58A4">
        <w:rPr>
          <w:rFonts w:ascii="Calibri" w:hAnsi="Calibri" w:cs="Times New Roman"/>
          <w:color w:val="auto"/>
          <w:sz w:val="22"/>
          <w:szCs w:val="22"/>
          <w:lang w:eastAsia="en-US"/>
        </w:rPr>
        <w:t xml:space="preserve"> </w:t>
      </w:r>
    </w:p>
    <w:p w:rsidR="00585E3E" w:rsidRPr="005154FA" w:rsidRDefault="00585E3E" w:rsidP="00A66619">
      <w:pPr>
        <w:jc w:val="right"/>
      </w:pPr>
      <w:r w:rsidRPr="005154FA">
        <w:t>Data,</w:t>
      </w:r>
      <w:r w:rsidR="00A4322C" w:rsidRPr="005154FA">
        <w:t xml:space="preserve"> </w:t>
      </w:r>
      <w:r w:rsidR="00A66619" w:rsidRPr="005154FA">
        <w:t>________________</w:t>
      </w:r>
    </w:p>
    <w:p w:rsidR="00585E3E" w:rsidRPr="005154FA" w:rsidRDefault="00585E3E" w:rsidP="009A4085">
      <w:pPr>
        <w:jc w:val="both"/>
      </w:pPr>
    </w:p>
    <w:p w:rsidR="00F65966" w:rsidRPr="005154FA" w:rsidRDefault="00585E3E" w:rsidP="009A4085">
      <w:pPr>
        <w:jc w:val="both"/>
      </w:pPr>
      <w:r w:rsidRPr="005154FA">
        <w:t>Il</w:t>
      </w:r>
      <w:r w:rsidR="00F5330E" w:rsidRPr="005154FA">
        <w:t xml:space="preserve"> Dichi</w:t>
      </w:r>
      <w:r w:rsidR="006C06BE">
        <w:t>arante________________________</w:t>
      </w:r>
    </w:p>
    <w:sectPr w:rsidR="00F65966" w:rsidRPr="005154FA" w:rsidSect="001142D7">
      <w:pgSz w:w="11906" w:h="16838"/>
      <w:pgMar w:top="96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00"/>
    <w:family w:val="roman"/>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F36D5"/>
    <w:multiLevelType w:val="hybridMultilevel"/>
    <w:tmpl w:val="9F643954"/>
    <w:lvl w:ilvl="0" w:tplc="AFCA86B8">
      <w:numFmt w:val="bullet"/>
      <w:lvlText w:val="-"/>
      <w:lvlJc w:val="left"/>
      <w:pPr>
        <w:ind w:left="720" w:hanging="360"/>
      </w:pPr>
      <w:rPr>
        <w:rFonts w:ascii="PT Serif" w:eastAsia="Calibri" w:hAnsi="PT 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FB2144"/>
    <w:multiLevelType w:val="hybridMultilevel"/>
    <w:tmpl w:val="A8626BFE"/>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C0"/>
    <w:rsid w:val="000745D1"/>
    <w:rsid w:val="001142D7"/>
    <w:rsid w:val="00203308"/>
    <w:rsid w:val="0026288A"/>
    <w:rsid w:val="00317190"/>
    <w:rsid w:val="004E7214"/>
    <w:rsid w:val="005154FA"/>
    <w:rsid w:val="00580C86"/>
    <w:rsid w:val="0058238F"/>
    <w:rsid w:val="00585D9F"/>
    <w:rsid w:val="00585E3E"/>
    <w:rsid w:val="005C61EF"/>
    <w:rsid w:val="00607D4C"/>
    <w:rsid w:val="00656159"/>
    <w:rsid w:val="00666D67"/>
    <w:rsid w:val="006C06BE"/>
    <w:rsid w:val="006E4C65"/>
    <w:rsid w:val="007B2B82"/>
    <w:rsid w:val="00886606"/>
    <w:rsid w:val="00886B44"/>
    <w:rsid w:val="009676C0"/>
    <w:rsid w:val="009A4085"/>
    <w:rsid w:val="00A4322C"/>
    <w:rsid w:val="00A66619"/>
    <w:rsid w:val="00A70A54"/>
    <w:rsid w:val="00BA1437"/>
    <w:rsid w:val="00BF1811"/>
    <w:rsid w:val="00BF1FC3"/>
    <w:rsid w:val="00CF5AD7"/>
    <w:rsid w:val="00D65640"/>
    <w:rsid w:val="00D712AC"/>
    <w:rsid w:val="00E92BBB"/>
    <w:rsid w:val="00F5330E"/>
    <w:rsid w:val="00F65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676C0"/>
    <w:rPr>
      <w:i/>
      <w:iCs/>
    </w:rPr>
  </w:style>
  <w:style w:type="paragraph" w:styleId="NormaleWeb">
    <w:name w:val="Normal (Web)"/>
    <w:basedOn w:val="Normale"/>
    <w:uiPriority w:val="99"/>
    <w:semiHidden/>
    <w:unhideWhenUsed/>
    <w:rsid w:val="0065615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rsid w:val="00656159"/>
  </w:style>
  <w:style w:type="paragraph" w:styleId="Testofumetto">
    <w:name w:val="Balloon Text"/>
    <w:basedOn w:val="Normale"/>
    <w:link w:val="TestofumettoCarattere"/>
    <w:uiPriority w:val="99"/>
    <w:semiHidden/>
    <w:unhideWhenUsed/>
    <w:rsid w:val="00A66619"/>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6619"/>
    <w:rPr>
      <w:rFonts w:ascii="Tahoma" w:hAnsi="Tahoma" w:cs="Tahoma"/>
      <w:sz w:val="16"/>
      <w:szCs w:val="16"/>
      <w:lang w:eastAsia="en-US"/>
    </w:rPr>
  </w:style>
  <w:style w:type="paragraph" w:customStyle="1" w:styleId="Default">
    <w:name w:val="Default"/>
    <w:rsid w:val="00886606"/>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676C0"/>
    <w:rPr>
      <w:i/>
      <w:iCs/>
    </w:rPr>
  </w:style>
  <w:style w:type="paragraph" w:styleId="NormaleWeb">
    <w:name w:val="Normal (Web)"/>
    <w:basedOn w:val="Normale"/>
    <w:uiPriority w:val="99"/>
    <w:semiHidden/>
    <w:unhideWhenUsed/>
    <w:rsid w:val="0065615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rsid w:val="00656159"/>
  </w:style>
  <w:style w:type="paragraph" w:styleId="Testofumetto">
    <w:name w:val="Balloon Text"/>
    <w:basedOn w:val="Normale"/>
    <w:link w:val="TestofumettoCarattere"/>
    <w:uiPriority w:val="99"/>
    <w:semiHidden/>
    <w:unhideWhenUsed/>
    <w:rsid w:val="00A66619"/>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6619"/>
    <w:rPr>
      <w:rFonts w:ascii="Tahoma" w:hAnsi="Tahoma" w:cs="Tahoma"/>
      <w:sz w:val="16"/>
      <w:szCs w:val="16"/>
      <w:lang w:eastAsia="en-US"/>
    </w:rPr>
  </w:style>
  <w:style w:type="paragraph" w:customStyle="1" w:styleId="Default">
    <w:name w:val="Default"/>
    <w:rsid w:val="00886606"/>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43068">
      <w:bodyDiv w:val="1"/>
      <w:marLeft w:val="0"/>
      <w:marRight w:val="0"/>
      <w:marTop w:val="0"/>
      <w:marBottom w:val="0"/>
      <w:divBdr>
        <w:top w:val="none" w:sz="0" w:space="0" w:color="auto"/>
        <w:left w:val="none" w:sz="0" w:space="0" w:color="auto"/>
        <w:bottom w:val="none" w:sz="0" w:space="0" w:color="auto"/>
        <w:right w:val="none" w:sz="0" w:space="0" w:color="auto"/>
      </w:divBdr>
      <w:divsChild>
        <w:div w:id="1490748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3B9B-B9C6-4916-A70F-F0E6240C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6122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vmoretto</dc:creator>
  <cp:lastModifiedBy>Claudia MORIS</cp:lastModifiedBy>
  <cp:revision>2</cp:revision>
  <cp:lastPrinted>2016-10-07T13:16:00Z</cp:lastPrinted>
  <dcterms:created xsi:type="dcterms:W3CDTF">2019-08-01T12:58:00Z</dcterms:created>
  <dcterms:modified xsi:type="dcterms:W3CDTF">2019-08-01T12:58:00Z</dcterms:modified>
</cp:coreProperties>
</file>